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4B2" w:rsidRDefault="006144B2">
      <w:r>
        <w:t>WILPSHIRE PARISH COUNCIL</w:t>
      </w:r>
      <w:r w:rsidR="00866BA7">
        <w:t xml:space="preserve">    </w:t>
      </w:r>
      <w:r w:rsidR="00C84F9B">
        <w:t>9 March    2022</w:t>
      </w:r>
      <w:r w:rsidR="00324B40">
        <w:t xml:space="preserve">                                            </w:t>
      </w:r>
      <w:r w:rsidR="00C84F9B">
        <w:t xml:space="preserve">AGENDA </w:t>
      </w:r>
      <w:proofErr w:type="gramStart"/>
      <w:r w:rsidR="00C84F9B">
        <w:t>ITEM  1</w:t>
      </w:r>
      <w:r w:rsidR="002273AF">
        <w:t>8</w:t>
      </w:r>
      <w:proofErr w:type="gramEnd"/>
    </w:p>
    <w:p w:rsidR="006144B2" w:rsidRDefault="006144B2">
      <w:r>
        <w:t>SUMMARY OF INSURANCE</w:t>
      </w:r>
      <w:r w:rsidR="00C84F9B">
        <w:t xml:space="preserve"> – to be read in conjunction with Policy Schedule.</w:t>
      </w:r>
    </w:p>
    <w:p w:rsidR="006144B2" w:rsidRDefault="006144B2">
      <w:proofErr w:type="spellStart"/>
      <w:r>
        <w:t>Wilpshire</w:t>
      </w:r>
      <w:proofErr w:type="spellEnd"/>
      <w:r>
        <w:t xml:space="preserve"> Parish Council have an insurance policy through </w:t>
      </w:r>
      <w:proofErr w:type="spellStart"/>
      <w:r>
        <w:t>BHiB</w:t>
      </w:r>
      <w:proofErr w:type="spellEnd"/>
      <w:r>
        <w:t xml:space="preserve"> insurance brokers.</w:t>
      </w:r>
    </w:p>
    <w:p w:rsidR="006144B2" w:rsidRDefault="006144B2">
      <w:r>
        <w:t>The renewal date</w:t>
      </w:r>
      <w:r w:rsidR="002273AF">
        <w:t xml:space="preserve"> of the insurance is 1 June 2022</w:t>
      </w:r>
      <w:bookmarkStart w:id="0" w:name="_GoBack"/>
      <w:bookmarkEnd w:id="0"/>
    </w:p>
    <w:p w:rsidR="006144B2" w:rsidRDefault="006144B2">
      <w:r>
        <w:t xml:space="preserve">Policy no.  </w:t>
      </w:r>
      <w:proofErr w:type="gramStart"/>
      <w:r>
        <w:t>LC000425  Aviva</w:t>
      </w:r>
      <w:proofErr w:type="gramEnd"/>
      <w:r>
        <w:t xml:space="preserve"> BHIB Local Councils Policy</w:t>
      </w:r>
    </w:p>
    <w:p w:rsidR="004E7F73" w:rsidRDefault="004E7F73">
      <w:pPr>
        <w:rPr>
          <w:b/>
        </w:rPr>
      </w:pPr>
      <w:r>
        <w:rPr>
          <w:b/>
        </w:rPr>
        <w:t>Premium</w:t>
      </w:r>
      <w:r w:rsidR="00FD4CD9">
        <w:rPr>
          <w:b/>
        </w:rPr>
        <w:t xml:space="preserve"> </w:t>
      </w:r>
      <w:proofErr w:type="gramStart"/>
      <w:r w:rsidR="00FD4CD9">
        <w:rPr>
          <w:b/>
        </w:rPr>
        <w:t xml:space="preserve">paid </w:t>
      </w:r>
      <w:r w:rsidR="00EE67BD">
        <w:rPr>
          <w:b/>
        </w:rPr>
        <w:t xml:space="preserve"> for</w:t>
      </w:r>
      <w:proofErr w:type="gramEnd"/>
      <w:r w:rsidR="00EE67BD">
        <w:rPr>
          <w:b/>
        </w:rPr>
        <w:t xml:space="preserve"> 01 June 2021 to 31 May 2022  £</w:t>
      </w:r>
      <w:r w:rsidR="00081EDC">
        <w:rPr>
          <w:b/>
        </w:rPr>
        <w:t>651.98</w:t>
      </w:r>
    </w:p>
    <w:p w:rsidR="00793135" w:rsidRPr="00793135" w:rsidRDefault="00793135" w:rsidP="00793135">
      <w:pPr>
        <w:spacing w:after="0" w:line="240" w:lineRule="auto"/>
        <w:rPr>
          <w:rFonts w:ascii="Times New Roman" w:eastAsia="Times New Roman" w:hAnsi="Times New Roman" w:cs="Times New Roman"/>
          <w:sz w:val="24"/>
          <w:szCs w:val="24"/>
          <w:lang w:eastAsia="en-GB"/>
        </w:rPr>
      </w:pPr>
      <w:r w:rsidRPr="00793135">
        <w:rPr>
          <w:rFonts w:ascii="Calibri" w:eastAsia="Times New Roman" w:hAnsi="Calibri" w:cs="Calibri"/>
          <w:lang w:eastAsia="en-GB"/>
        </w:rPr>
        <w:t>Please note that the cover for the mowers and sports equipment is standard cover under the Cou</w:t>
      </w:r>
      <w:r>
        <w:rPr>
          <w:rFonts w:ascii="Calibri" w:eastAsia="Times New Roman" w:hAnsi="Calibri" w:cs="Calibri"/>
          <w:lang w:eastAsia="en-GB"/>
        </w:rPr>
        <w:t>ncil Insurance Policy and the insurers do not charge</w:t>
      </w:r>
      <w:r w:rsidRPr="00793135">
        <w:rPr>
          <w:rFonts w:ascii="Calibri" w:eastAsia="Times New Roman" w:hAnsi="Calibri" w:cs="Calibri"/>
          <w:lang w:eastAsia="en-GB"/>
        </w:rPr>
        <w:t xml:space="preserve"> anything extra.</w:t>
      </w:r>
    </w:p>
    <w:p w:rsidR="00793135" w:rsidRPr="00793135" w:rsidRDefault="00793135" w:rsidP="00793135">
      <w:pPr>
        <w:spacing w:after="0" w:line="240" w:lineRule="auto"/>
        <w:rPr>
          <w:rFonts w:ascii="Times New Roman" w:eastAsia="Times New Roman" w:hAnsi="Times New Roman" w:cs="Times New Roman"/>
          <w:sz w:val="24"/>
          <w:szCs w:val="24"/>
          <w:lang w:eastAsia="en-GB"/>
        </w:rPr>
      </w:pPr>
      <w:r w:rsidRPr="00793135">
        <w:rPr>
          <w:rFonts w:ascii="Calibri" w:eastAsia="Times New Roman" w:hAnsi="Calibri" w:cs="Calibri"/>
          <w:lang w:eastAsia="en-GB"/>
        </w:rPr>
        <w:t> </w:t>
      </w:r>
    </w:p>
    <w:p w:rsidR="00793135" w:rsidRPr="00793135" w:rsidRDefault="00793135" w:rsidP="00793135">
      <w:pPr>
        <w:spacing w:after="0" w:line="240" w:lineRule="auto"/>
        <w:rPr>
          <w:rFonts w:ascii="Times New Roman" w:eastAsia="Times New Roman" w:hAnsi="Times New Roman" w:cs="Times New Roman"/>
          <w:sz w:val="24"/>
          <w:szCs w:val="24"/>
          <w:lang w:eastAsia="en-GB"/>
        </w:rPr>
      </w:pPr>
      <w:r w:rsidRPr="00793135">
        <w:rPr>
          <w:rFonts w:ascii="Calibri" w:eastAsia="Times New Roman" w:hAnsi="Calibri" w:cs="Calibri"/>
          <w:lang w:eastAsia="en-GB"/>
        </w:rPr>
        <w:t>In respect of the ground surface cover, this aspect is more for your playground surface areas.</w:t>
      </w:r>
    </w:p>
    <w:p w:rsidR="00793135" w:rsidRDefault="00793135"/>
    <w:tbl>
      <w:tblPr>
        <w:tblStyle w:val="TableGrid"/>
        <w:tblW w:w="0" w:type="auto"/>
        <w:tblLook w:val="04A0" w:firstRow="1" w:lastRow="0" w:firstColumn="1" w:lastColumn="0" w:noHBand="0" w:noVBand="1"/>
      </w:tblPr>
      <w:tblGrid>
        <w:gridCol w:w="3839"/>
        <w:gridCol w:w="2625"/>
        <w:gridCol w:w="2552"/>
      </w:tblGrid>
      <w:tr w:rsidR="006144B2" w:rsidTr="005E73B4">
        <w:tc>
          <w:tcPr>
            <w:tcW w:w="3839" w:type="dxa"/>
          </w:tcPr>
          <w:p w:rsidR="006144B2" w:rsidRDefault="00816833">
            <w:r>
              <w:t>Premium Breakdown</w:t>
            </w:r>
          </w:p>
        </w:tc>
        <w:tc>
          <w:tcPr>
            <w:tcW w:w="2625" w:type="dxa"/>
          </w:tcPr>
          <w:p w:rsidR="006144B2" w:rsidRDefault="006144B2"/>
        </w:tc>
        <w:tc>
          <w:tcPr>
            <w:tcW w:w="2552" w:type="dxa"/>
          </w:tcPr>
          <w:p w:rsidR="006144B2" w:rsidRDefault="006144B2"/>
        </w:tc>
      </w:tr>
      <w:tr w:rsidR="00FB581A" w:rsidTr="001C6DE0">
        <w:tc>
          <w:tcPr>
            <w:tcW w:w="3839" w:type="dxa"/>
          </w:tcPr>
          <w:p w:rsidR="00FB581A" w:rsidRDefault="00FB581A" w:rsidP="00AC71A4">
            <w:r>
              <w:t>Annual premium -</w:t>
            </w:r>
          </w:p>
        </w:tc>
        <w:tc>
          <w:tcPr>
            <w:tcW w:w="5177" w:type="dxa"/>
            <w:gridSpan w:val="2"/>
          </w:tcPr>
          <w:p w:rsidR="00FB581A" w:rsidRDefault="00FB581A" w:rsidP="00AC71A4">
            <w:r>
              <w:t>£651.98 (to include insurance premium tax)</w:t>
            </w:r>
          </w:p>
          <w:p w:rsidR="00FB581A" w:rsidRDefault="00FB581A" w:rsidP="00FB581A">
            <w:pPr>
              <w:jc w:val="right"/>
            </w:pPr>
            <w:r>
              <w:t>Annual premium  560.70</w:t>
            </w:r>
          </w:p>
          <w:p w:rsidR="00FB581A" w:rsidRDefault="00FB581A" w:rsidP="00FB581A">
            <w:pPr>
              <w:jc w:val="right"/>
            </w:pPr>
            <w:r>
              <w:t>Insurance Premium Tax    67.28</w:t>
            </w:r>
          </w:p>
          <w:p w:rsidR="00FB581A" w:rsidRDefault="00FB581A" w:rsidP="00FB581A">
            <w:pPr>
              <w:jc w:val="right"/>
            </w:pPr>
            <w:r>
              <w:t>Terrorism Premium   21.43</w:t>
            </w:r>
          </w:p>
          <w:p w:rsidR="00FB581A" w:rsidRDefault="00FB581A" w:rsidP="00FB581A">
            <w:pPr>
              <w:jc w:val="right"/>
            </w:pPr>
            <w:r>
              <w:t>Insurance premium tax     2.47</w:t>
            </w:r>
          </w:p>
          <w:p w:rsidR="00FB581A" w:rsidRDefault="00FB581A" w:rsidP="00FB581A">
            <w:pPr>
              <w:jc w:val="right"/>
            </w:pPr>
          </w:p>
          <w:p w:rsidR="00FB581A" w:rsidRDefault="00FB581A" w:rsidP="00FB581A">
            <w:pPr>
              <w:jc w:val="right"/>
            </w:pPr>
          </w:p>
          <w:p w:rsidR="00FB581A" w:rsidRDefault="00FB581A" w:rsidP="00FB581A">
            <w:pPr>
              <w:jc w:val="right"/>
            </w:pPr>
            <w:r>
              <w:t xml:space="preserve">Total  </w:t>
            </w:r>
            <w:r w:rsidRPr="00FB581A">
              <w:rPr>
                <w:b/>
              </w:rPr>
              <w:t>£651.98</w:t>
            </w:r>
            <w:r>
              <w:t xml:space="preserve">  </w:t>
            </w:r>
          </w:p>
          <w:p w:rsidR="00FB581A" w:rsidRDefault="00FB581A"/>
        </w:tc>
      </w:tr>
      <w:tr w:rsidR="006144B2" w:rsidTr="005E73B4">
        <w:tc>
          <w:tcPr>
            <w:tcW w:w="3839" w:type="dxa"/>
          </w:tcPr>
          <w:p w:rsidR="006144B2" w:rsidRDefault="006144B2"/>
        </w:tc>
        <w:tc>
          <w:tcPr>
            <w:tcW w:w="2625" w:type="dxa"/>
          </w:tcPr>
          <w:p w:rsidR="006144B2" w:rsidRDefault="006144B2"/>
        </w:tc>
        <w:tc>
          <w:tcPr>
            <w:tcW w:w="2552" w:type="dxa"/>
          </w:tcPr>
          <w:p w:rsidR="006144B2" w:rsidRDefault="006144B2"/>
        </w:tc>
      </w:tr>
      <w:tr w:rsidR="006144B2" w:rsidTr="005E73B4">
        <w:tc>
          <w:tcPr>
            <w:tcW w:w="3839" w:type="dxa"/>
          </w:tcPr>
          <w:p w:rsidR="006144B2" w:rsidRDefault="00AC71A4">
            <w:r>
              <w:t>Cover Summary</w:t>
            </w:r>
          </w:p>
        </w:tc>
        <w:tc>
          <w:tcPr>
            <w:tcW w:w="2625" w:type="dxa"/>
          </w:tcPr>
          <w:p w:rsidR="006144B2" w:rsidRDefault="006144B2"/>
        </w:tc>
        <w:tc>
          <w:tcPr>
            <w:tcW w:w="2552" w:type="dxa"/>
          </w:tcPr>
          <w:p w:rsidR="006144B2" w:rsidRDefault="006144B2"/>
        </w:tc>
      </w:tr>
      <w:tr w:rsidR="006144B2" w:rsidTr="005E73B4">
        <w:tc>
          <w:tcPr>
            <w:tcW w:w="3839" w:type="dxa"/>
          </w:tcPr>
          <w:p w:rsidR="006144B2" w:rsidRDefault="00AC71A4">
            <w:r>
              <w:t>Property Damage</w:t>
            </w:r>
          </w:p>
        </w:tc>
        <w:tc>
          <w:tcPr>
            <w:tcW w:w="2625" w:type="dxa"/>
          </w:tcPr>
          <w:p w:rsidR="006144B2" w:rsidRDefault="00AC71A4">
            <w:r>
              <w:t>Not covered</w:t>
            </w:r>
          </w:p>
        </w:tc>
        <w:tc>
          <w:tcPr>
            <w:tcW w:w="2552" w:type="dxa"/>
          </w:tcPr>
          <w:p w:rsidR="006144B2" w:rsidRDefault="006144B2"/>
        </w:tc>
      </w:tr>
      <w:tr w:rsidR="006144B2" w:rsidTr="005E73B4">
        <w:tc>
          <w:tcPr>
            <w:tcW w:w="3839" w:type="dxa"/>
          </w:tcPr>
          <w:p w:rsidR="006144B2" w:rsidRDefault="00AC71A4">
            <w:r>
              <w:t xml:space="preserve">Money </w:t>
            </w:r>
          </w:p>
        </w:tc>
        <w:tc>
          <w:tcPr>
            <w:tcW w:w="2625" w:type="dxa"/>
          </w:tcPr>
          <w:p w:rsidR="006144B2" w:rsidRDefault="00AC71A4">
            <w:r>
              <w:t>covered</w:t>
            </w:r>
          </w:p>
        </w:tc>
        <w:tc>
          <w:tcPr>
            <w:tcW w:w="2552" w:type="dxa"/>
          </w:tcPr>
          <w:p w:rsidR="006144B2" w:rsidRDefault="00AC71A4">
            <w:r>
              <w:t>As per schedule attached</w:t>
            </w:r>
          </w:p>
        </w:tc>
      </w:tr>
      <w:tr w:rsidR="00AC71A4" w:rsidTr="005E73B4">
        <w:tc>
          <w:tcPr>
            <w:tcW w:w="3839" w:type="dxa"/>
          </w:tcPr>
          <w:p w:rsidR="00AC71A4" w:rsidRDefault="00AC71A4">
            <w:r>
              <w:t>Business Interruption</w:t>
            </w:r>
          </w:p>
        </w:tc>
        <w:tc>
          <w:tcPr>
            <w:tcW w:w="2625" w:type="dxa"/>
          </w:tcPr>
          <w:p w:rsidR="00AC71A4" w:rsidRDefault="00AC71A4">
            <w:r>
              <w:t>Not covered</w:t>
            </w:r>
          </w:p>
        </w:tc>
        <w:tc>
          <w:tcPr>
            <w:tcW w:w="2552" w:type="dxa"/>
          </w:tcPr>
          <w:p w:rsidR="00AC71A4" w:rsidRDefault="00AC71A4"/>
        </w:tc>
      </w:tr>
      <w:tr w:rsidR="006144B2" w:rsidTr="005E73B4">
        <w:tc>
          <w:tcPr>
            <w:tcW w:w="3839" w:type="dxa"/>
          </w:tcPr>
          <w:p w:rsidR="006144B2" w:rsidRDefault="00AC71A4">
            <w:r>
              <w:t xml:space="preserve">Employers </w:t>
            </w:r>
            <w:proofErr w:type="spellStart"/>
            <w:r>
              <w:t>liabiiity</w:t>
            </w:r>
            <w:proofErr w:type="spellEnd"/>
          </w:p>
        </w:tc>
        <w:tc>
          <w:tcPr>
            <w:tcW w:w="2625" w:type="dxa"/>
          </w:tcPr>
          <w:p w:rsidR="006144B2" w:rsidRDefault="00AC71A4">
            <w:r>
              <w:t>Covered</w:t>
            </w:r>
          </w:p>
        </w:tc>
        <w:tc>
          <w:tcPr>
            <w:tcW w:w="2552" w:type="dxa"/>
          </w:tcPr>
          <w:p w:rsidR="006144B2" w:rsidRDefault="00F1309E">
            <w:r>
              <w:t>£10,000,000</w:t>
            </w:r>
          </w:p>
        </w:tc>
      </w:tr>
      <w:tr w:rsidR="006144B2" w:rsidTr="005E73B4">
        <w:tc>
          <w:tcPr>
            <w:tcW w:w="3839" w:type="dxa"/>
          </w:tcPr>
          <w:p w:rsidR="006144B2" w:rsidRDefault="00F1309E">
            <w:r>
              <w:t>Public and products liability</w:t>
            </w:r>
          </w:p>
        </w:tc>
        <w:tc>
          <w:tcPr>
            <w:tcW w:w="2625" w:type="dxa"/>
          </w:tcPr>
          <w:p w:rsidR="006144B2" w:rsidRDefault="00F1309E">
            <w:r>
              <w:t>Covered</w:t>
            </w:r>
          </w:p>
        </w:tc>
        <w:tc>
          <w:tcPr>
            <w:tcW w:w="2552" w:type="dxa"/>
          </w:tcPr>
          <w:p w:rsidR="006144B2" w:rsidRDefault="00F1309E">
            <w:r>
              <w:t>£10,000,000</w:t>
            </w:r>
          </w:p>
        </w:tc>
      </w:tr>
      <w:tr w:rsidR="00F1309E" w:rsidTr="005E73B4">
        <w:tc>
          <w:tcPr>
            <w:tcW w:w="3839" w:type="dxa"/>
          </w:tcPr>
          <w:p w:rsidR="00F1309E" w:rsidRDefault="00F1309E">
            <w:r>
              <w:t>Fidelity guarantee</w:t>
            </w:r>
          </w:p>
        </w:tc>
        <w:tc>
          <w:tcPr>
            <w:tcW w:w="2625" w:type="dxa"/>
          </w:tcPr>
          <w:p w:rsidR="00F1309E" w:rsidRDefault="00F1309E">
            <w:r>
              <w:t>Covered</w:t>
            </w:r>
          </w:p>
        </w:tc>
        <w:tc>
          <w:tcPr>
            <w:tcW w:w="2552" w:type="dxa"/>
          </w:tcPr>
          <w:p w:rsidR="00F1309E" w:rsidRDefault="00F1309E">
            <w:r>
              <w:t>£250,000</w:t>
            </w:r>
          </w:p>
        </w:tc>
      </w:tr>
      <w:tr w:rsidR="00F1309E" w:rsidTr="005E73B4">
        <w:tc>
          <w:tcPr>
            <w:tcW w:w="3839" w:type="dxa"/>
          </w:tcPr>
          <w:p w:rsidR="00F1309E" w:rsidRDefault="00F1309E">
            <w:r>
              <w:t>No claims discount and application of excess protection</w:t>
            </w:r>
          </w:p>
        </w:tc>
        <w:tc>
          <w:tcPr>
            <w:tcW w:w="2625" w:type="dxa"/>
          </w:tcPr>
          <w:p w:rsidR="00F1309E" w:rsidRDefault="00F1309E">
            <w:r>
              <w:t>Covered</w:t>
            </w:r>
          </w:p>
        </w:tc>
        <w:tc>
          <w:tcPr>
            <w:tcW w:w="2552" w:type="dxa"/>
          </w:tcPr>
          <w:p w:rsidR="00F1309E" w:rsidRDefault="00F1309E">
            <w:r>
              <w:t>n/a</w:t>
            </w:r>
          </w:p>
        </w:tc>
      </w:tr>
      <w:tr w:rsidR="00F1309E" w:rsidTr="005E73B4">
        <w:tc>
          <w:tcPr>
            <w:tcW w:w="3839" w:type="dxa"/>
          </w:tcPr>
          <w:p w:rsidR="00F1309E" w:rsidRDefault="00F1309E">
            <w:r>
              <w:t>Libel and slander</w:t>
            </w:r>
          </w:p>
        </w:tc>
        <w:tc>
          <w:tcPr>
            <w:tcW w:w="2625" w:type="dxa"/>
          </w:tcPr>
          <w:p w:rsidR="00F1309E" w:rsidRDefault="00F1309E">
            <w:r>
              <w:t>Covered</w:t>
            </w:r>
          </w:p>
        </w:tc>
        <w:tc>
          <w:tcPr>
            <w:tcW w:w="2552" w:type="dxa"/>
          </w:tcPr>
          <w:p w:rsidR="00F1309E" w:rsidRDefault="00F1309E">
            <w:r>
              <w:t>£250,000</w:t>
            </w:r>
          </w:p>
        </w:tc>
      </w:tr>
      <w:tr w:rsidR="00F1309E" w:rsidTr="005E73B4">
        <w:tc>
          <w:tcPr>
            <w:tcW w:w="3839" w:type="dxa"/>
          </w:tcPr>
          <w:p w:rsidR="00F1309E" w:rsidRDefault="00F1309E">
            <w:r>
              <w:t>Officials indemnity</w:t>
            </w:r>
          </w:p>
        </w:tc>
        <w:tc>
          <w:tcPr>
            <w:tcW w:w="2625" w:type="dxa"/>
          </w:tcPr>
          <w:p w:rsidR="00F1309E" w:rsidRDefault="00F1309E">
            <w:r>
              <w:t>Covered</w:t>
            </w:r>
          </w:p>
        </w:tc>
        <w:tc>
          <w:tcPr>
            <w:tcW w:w="2552" w:type="dxa"/>
          </w:tcPr>
          <w:p w:rsidR="00F1309E" w:rsidRDefault="00F1309E">
            <w:r>
              <w:t>£500,000</w:t>
            </w:r>
          </w:p>
        </w:tc>
      </w:tr>
      <w:tr w:rsidR="00F1309E" w:rsidTr="005E73B4">
        <w:tc>
          <w:tcPr>
            <w:tcW w:w="3839" w:type="dxa"/>
          </w:tcPr>
          <w:p w:rsidR="00F1309E" w:rsidRDefault="00F1309E">
            <w:r>
              <w:t>Personal accident</w:t>
            </w:r>
          </w:p>
        </w:tc>
        <w:tc>
          <w:tcPr>
            <w:tcW w:w="2625" w:type="dxa"/>
          </w:tcPr>
          <w:p w:rsidR="00F1309E" w:rsidRDefault="00F1309E">
            <w:r>
              <w:t>Covered</w:t>
            </w:r>
          </w:p>
        </w:tc>
        <w:tc>
          <w:tcPr>
            <w:tcW w:w="2552" w:type="dxa"/>
          </w:tcPr>
          <w:p w:rsidR="00F1309E" w:rsidRDefault="00F1309E">
            <w:r>
              <w:t>£100,000</w:t>
            </w:r>
          </w:p>
        </w:tc>
      </w:tr>
      <w:tr w:rsidR="00F1309E" w:rsidTr="005E73B4">
        <w:tc>
          <w:tcPr>
            <w:tcW w:w="3839" w:type="dxa"/>
          </w:tcPr>
          <w:p w:rsidR="00F1309E" w:rsidRDefault="00F1309E">
            <w:r>
              <w:t>Legal expenses</w:t>
            </w:r>
          </w:p>
        </w:tc>
        <w:tc>
          <w:tcPr>
            <w:tcW w:w="2625" w:type="dxa"/>
          </w:tcPr>
          <w:p w:rsidR="00F1309E" w:rsidRDefault="00F1309E">
            <w:r>
              <w:t>Covered</w:t>
            </w:r>
          </w:p>
        </w:tc>
        <w:tc>
          <w:tcPr>
            <w:tcW w:w="2552" w:type="dxa"/>
          </w:tcPr>
          <w:p w:rsidR="00F1309E" w:rsidRDefault="00F1309E">
            <w:r>
              <w:t>£250,000</w:t>
            </w:r>
          </w:p>
        </w:tc>
      </w:tr>
      <w:tr w:rsidR="00390C21" w:rsidTr="005E73B4">
        <w:tc>
          <w:tcPr>
            <w:tcW w:w="3839" w:type="dxa"/>
          </w:tcPr>
          <w:p w:rsidR="00390C21" w:rsidRDefault="00390C21">
            <w:r>
              <w:t>Data Breach</w:t>
            </w:r>
          </w:p>
        </w:tc>
        <w:tc>
          <w:tcPr>
            <w:tcW w:w="2625" w:type="dxa"/>
          </w:tcPr>
          <w:p w:rsidR="00390C21" w:rsidRDefault="00390C21">
            <w:r>
              <w:t>Not covered</w:t>
            </w:r>
          </w:p>
        </w:tc>
        <w:tc>
          <w:tcPr>
            <w:tcW w:w="2552" w:type="dxa"/>
          </w:tcPr>
          <w:p w:rsidR="00390C21" w:rsidRDefault="00390C21"/>
        </w:tc>
      </w:tr>
      <w:tr w:rsidR="00FB581A" w:rsidTr="005E73B4">
        <w:tc>
          <w:tcPr>
            <w:tcW w:w="3839" w:type="dxa"/>
          </w:tcPr>
          <w:p w:rsidR="00FB581A" w:rsidRDefault="00FB581A">
            <w:r>
              <w:t>Buildings</w:t>
            </w:r>
          </w:p>
        </w:tc>
        <w:tc>
          <w:tcPr>
            <w:tcW w:w="2625" w:type="dxa"/>
          </w:tcPr>
          <w:p w:rsidR="00FB581A" w:rsidRDefault="00FB581A">
            <w:r>
              <w:t>Not insured</w:t>
            </w:r>
          </w:p>
        </w:tc>
        <w:tc>
          <w:tcPr>
            <w:tcW w:w="2552" w:type="dxa"/>
          </w:tcPr>
          <w:p w:rsidR="00FB581A" w:rsidRDefault="00FB581A"/>
        </w:tc>
      </w:tr>
      <w:tr w:rsidR="005E7E65" w:rsidTr="005E73B4">
        <w:tc>
          <w:tcPr>
            <w:tcW w:w="3839" w:type="dxa"/>
          </w:tcPr>
          <w:p w:rsidR="005E73B4" w:rsidRDefault="005E7E65" w:rsidP="005E7E65">
            <w:pPr>
              <w:shd w:val="clear" w:color="auto" w:fill="FFFFFF"/>
              <w:rPr>
                <w:rFonts w:ascii="Calibri" w:eastAsia="Times New Roman" w:hAnsi="Calibri" w:cs="Calibri"/>
                <w:color w:val="222222"/>
                <w:lang w:eastAsia="en-GB"/>
              </w:rPr>
            </w:pPr>
            <w:r w:rsidRPr="005E7E65">
              <w:rPr>
                <w:rFonts w:ascii="Calibri" w:eastAsia="Times New Roman" w:hAnsi="Calibri" w:cs="Calibri"/>
                <w:color w:val="222222"/>
                <w:lang w:eastAsia="en-GB"/>
              </w:rPr>
              <w:t>Contents                                                   </w:t>
            </w:r>
          </w:p>
          <w:p w:rsidR="005E7E65" w:rsidRPr="005E7E65" w:rsidRDefault="005E7E65" w:rsidP="005E7E65">
            <w:pPr>
              <w:shd w:val="clear" w:color="auto" w:fill="FFFFFF"/>
              <w:rPr>
                <w:rFonts w:ascii="Arial" w:eastAsia="Times New Roman" w:hAnsi="Arial" w:cs="Arial"/>
                <w:color w:val="222222"/>
                <w:sz w:val="24"/>
                <w:szCs w:val="24"/>
                <w:lang w:eastAsia="en-GB"/>
              </w:rPr>
            </w:pPr>
            <w:r w:rsidRPr="005E7E65">
              <w:rPr>
                <w:rFonts w:ascii="Calibri" w:eastAsia="Times New Roman" w:hAnsi="Calibri" w:cs="Calibri"/>
                <w:color w:val="222222"/>
                <w:lang w:eastAsia="en-GB"/>
              </w:rPr>
              <w:t> </w:t>
            </w:r>
          </w:p>
          <w:p w:rsidR="005E7E65" w:rsidRDefault="005E7E65"/>
        </w:tc>
        <w:tc>
          <w:tcPr>
            <w:tcW w:w="2625" w:type="dxa"/>
          </w:tcPr>
          <w:p w:rsidR="005E7E65" w:rsidRDefault="005E73B4">
            <w:r>
              <w:t>Covered</w:t>
            </w:r>
          </w:p>
        </w:tc>
        <w:tc>
          <w:tcPr>
            <w:tcW w:w="2552" w:type="dxa"/>
          </w:tcPr>
          <w:p w:rsidR="005E73B4" w:rsidRPr="005E7E65" w:rsidRDefault="00FB581A" w:rsidP="005E73B4">
            <w:pPr>
              <w:shd w:val="clear" w:color="auto" w:fill="FFFFFF"/>
              <w:rPr>
                <w:rFonts w:ascii="Arial" w:eastAsia="Times New Roman" w:hAnsi="Arial" w:cs="Arial"/>
                <w:color w:val="222222"/>
                <w:sz w:val="24"/>
                <w:szCs w:val="24"/>
                <w:lang w:eastAsia="en-GB"/>
              </w:rPr>
            </w:pPr>
            <w:r>
              <w:rPr>
                <w:rFonts w:ascii="Calibri" w:eastAsia="Times New Roman" w:hAnsi="Calibri" w:cs="Calibri"/>
                <w:color w:val="222222"/>
                <w:lang w:eastAsia="en-GB"/>
              </w:rPr>
              <w:t> £33,000</w:t>
            </w:r>
          </w:p>
          <w:p w:rsidR="005E7E65" w:rsidRDefault="005E7E65"/>
        </w:tc>
      </w:tr>
      <w:tr w:rsidR="005E73B4" w:rsidTr="001E58A3">
        <w:tc>
          <w:tcPr>
            <w:tcW w:w="9016" w:type="dxa"/>
            <w:gridSpan w:val="3"/>
          </w:tcPr>
          <w:p w:rsidR="005E73B4" w:rsidRPr="005E7E65" w:rsidRDefault="005E73B4" w:rsidP="005E73B4">
            <w:pPr>
              <w:shd w:val="clear" w:color="auto" w:fill="FFFFFF"/>
              <w:rPr>
                <w:rFonts w:ascii="Arial" w:eastAsia="Times New Roman" w:hAnsi="Arial" w:cs="Arial"/>
                <w:color w:val="222222"/>
                <w:sz w:val="24"/>
                <w:szCs w:val="24"/>
                <w:lang w:eastAsia="en-GB"/>
              </w:rPr>
            </w:pPr>
            <w:r w:rsidRPr="005E7E65">
              <w:rPr>
                <w:rFonts w:ascii="Calibri" w:eastAsia="Times New Roman" w:hAnsi="Calibri" w:cs="Calibri"/>
                <w:color w:val="222222"/>
                <w:lang w:eastAsia="en-GB"/>
              </w:rPr>
              <w:t>Other </w:t>
            </w:r>
            <w:r w:rsidRPr="005E7E65">
              <w:rPr>
                <w:rFonts w:ascii="Calibri" w:eastAsia="Times New Roman" w:hAnsi="Calibri" w:cs="Calibri"/>
                <w:b/>
                <w:bCs/>
                <w:color w:val="222222"/>
                <w:lang w:eastAsia="en-GB"/>
              </w:rPr>
              <w:t>Property Insured </w:t>
            </w:r>
            <w:r w:rsidRPr="005E7E65">
              <w:rPr>
                <w:rFonts w:ascii="Calibri" w:eastAsia="Times New Roman" w:hAnsi="Calibri" w:cs="Calibri"/>
                <w:color w:val="222222"/>
                <w:lang w:eastAsia="en-GB"/>
              </w:rPr>
              <w:t>away from the </w:t>
            </w:r>
            <w:r w:rsidRPr="005E7E65">
              <w:rPr>
                <w:rFonts w:ascii="Calibri" w:eastAsia="Times New Roman" w:hAnsi="Calibri" w:cs="Calibri"/>
                <w:b/>
                <w:bCs/>
                <w:color w:val="222222"/>
                <w:lang w:eastAsia="en-GB"/>
              </w:rPr>
              <w:t>Premises</w:t>
            </w:r>
          </w:p>
          <w:p w:rsidR="005E73B4" w:rsidRDefault="005E73B4"/>
        </w:tc>
      </w:tr>
      <w:tr w:rsidR="005E73B4" w:rsidTr="005E73B4">
        <w:tc>
          <w:tcPr>
            <w:tcW w:w="3839" w:type="dxa"/>
          </w:tcPr>
          <w:p w:rsidR="007D5374" w:rsidRPr="005E7E65" w:rsidRDefault="007D5374" w:rsidP="007D5374">
            <w:pPr>
              <w:shd w:val="clear" w:color="auto" w:fill="FFFFFF"/>
              <w:rPr>
                <w:rFonts w:ascii="Arial" w:eastAsia="Times New Roman" w:hAnsi="Arial" w:cs="Arial"/>
                <w:color w:val="222222"/>
                <w:sz w:val="24"/>
                <w:szCs w:val="24"/>
                <w:lang w:eastAsia="en-GB"/>
              </w:rPr>
            </w:pPr>
            <w:r w:rsidRPr="005E7E65">
              <w:rPr>
                <w:rFonts w:ascii="Calibri" w:eastAsia="Times New Roman" w:hAnsi="Calibri" w:cs="Calibri"/>
                <w:color w:val="222222"/>
                <w:lang w:eastAsia="en-GB"/>
              </w:rPr>
              <w:t>Street Furniture                                      </w:t>
            </w:r>
          </w:p>
          <w:p w:rsidR="005E73B4" w:rsidRPr="005E7E65" w:rsidRDefault="005E73B4" w:rsidP="005E7E65">
            <w:pPr>
              <w:shd w:val="clear" w:color="auto" w:fill="FFFFFF"/>
              <w:rPr>
                <w:rFonts w:ascii="Calibri" w:eastAsia="Times New Roman" w:hAnsi="Calibri" w:cs="Calibri"/>
                <w:color w:val="222222"/>
                <w:lang w:eastAsia="en-GB"/>
              </w:rPr>
            </w:pPr>
          </w:p>
        </w:tc>
        <w:tc>
          <w:tcPr>
            <w:tcW w:w="2625" w:type="dxa"/>
          </w:tcPr>
          <w:p w:rsidR="005E73B4" w:rsidRDefault="007D5374">
            <w:r>
              <w:t>Covered</w:t>
            </w:r>
          </w:p>
        </w:tc>
        <w:tc>
          <w:tcPr>
            <w:tcW w:w="2552" w:type="dxa"/>
          </w:tcPr>
          <w:p w:rsidR="005E73B4" w:rsidRDefault="004E74A8">
            <w:r>
              <w:rPr>
                <w:rFonts w:ascii="Calibri" w:eastAsia="Times New Roman" w:hAnsi="Calibri" w:cs="Calibri"/>
                <w:color w:val="222222"/>
                <w:lang w:eastAsia="en-GB"/>
              </w:rPr>
              <w:t>£72,00</w:t>
            </w:r>
            <w:r w:rsidR="00FB581A">
              <w:rPr>
                <w:rFonts w:ascii="Calibri" w:eastAsia="Times New Roman" w:hAnsi="Calibri" w:cs="Calibri"/>
                <w:color w:val="222222"/>
                <w:lang w:eastAsia="en-GB"/>
              </w:rPr>
              <w:t>0</w:t>
            </w:r>
          </w:p>
        </w:tc>
      </w:tr>
      <w:tr w:rsidR="005E73B4" w:rsidTr="005E73B4">
        <w:tc>
          <w:tcPr>
            <w:tcW w:w="3839" w:type="dxa"/>
          </w:tcPr>
          <w:p w:rsidR="007D5374" w:rsidRPr="005E7E65" w:rsidRDefault="007D5374" w:rsidP="007D5374">
            <w:pPr>
              <w:shd w:val="clear" w:color="auto" w:fill="FFFFFF"/>
              <w:rPr>
                <w:rFonts w:ascii="Arial" w:eastAsia="Times New Roman" w:hAnsi="Arial" w:cs="Arial"/>
                <w:color w:val="222222"/>
                <w:sz w:val="24"/>
                <w:szCs w:val="24"/>
                <w:lang w:eastAsia="en-GB"/>
              </w:rPr>
            </w:pPr>
            <w:r w:rsidRPr="005E7E65">
              <w:rPr>
                <w:rFonts w:ascii="Calibri" w:eastAsia="Times New Roman" w:hAnsi="Calibri" w:cs="Calibri"/>
                <w:color w:val="222222"/>
                <w:lang w:eastAsia="en-GB"/>
              </w:rPr>
              <w:t>Gates and Fences                                 </w:t>
            </w:r>
          </w:p>
          <w:p w:rsidR="005E73B4" w:rsidRPr="005E7E65" w:rsidRDefault="005E73B4" w:rsidP="005E7E65">
            <w:pPr>
              <w:shd w:val="clear" w:color="auto" w:fill="FFFFFF"/>
              <w:rPr>
                <w:rFonts w:ascii="Calibri" w:eastAsia="Times New Roman" w:hAnsi="Calibri" w:cs="Calibri"/>
                <w:color w:val="222222"/>
                <w:lang w:eastAsia="en-GB"/>
              </w:rPr>
            </w:pPr>
          </w:p>
        </w:tc>
        <w:tc>
          <w:tcPr>
            <w:tcW w:w="2625" w:type="dxa"/>
          </w:tcPr>
          <w:p w:rsidR="005E73B4" w:rsidRDefault="007D5374">
            <w:r>
              <w:t>Covered</w:t>
            </w:r>
          </w:p>
        </w:tc>
        <w:tc>
          <w:tcPr>
            <w:tcW w:w="2552" w:type="dxa"/>
          </w:tcPr>
          <w:p w:rsidR="005E73B4" w:rsidRDefault="004E74A8">
            <w:r>
              <w:rPr>
                <w:rFonts w:ascii="Calibri" w:eastAsia="Times New Roman" w:hAnsi="Calibri" w:cs="Calibri"/>
                <w:color w:val="222222"/>
                <w:lang w:eastAsia="en-GB"/>
              </w:rPr>
              <w:t> £36</w:t>
            </w:r>
            <w:r w:rsidR="007D5374" w:rsidRPr="005E7E65">
              <w:rPr>
                <w:rFonts w:ascii="Calibri" w:eastAsia="Times New Roman" w:hAnsi="Calibri" w:cs="Calibri"/>
                <w:color w:val="222222"/>
                <w:lang w:eastAsia="en-GB"/>
              </w:rPr>
              <w:t>,000</w:t>
            </w:r>
          </w:p>
        </w:tc>
      </w:tr>
      <w:tr w:rsidR="005E73B4" w:rsidTr="005E73B4">
        <w:tc>
          <w:tcPr>
            <w:tcW w:w="3839" w:type="dxa"/>
          </w:tcPr>
          <w:p w:rsidR="005E73B4" w:rsidRPr="005E7E65" w:rsidRDefault="007D5374" w:rsidP="007D5374">
            <w:pPr>
              <w:shd w:val="clear" w:color="auto" w:fill="FFFFFF"/>
              <w:rPr>
                <w:rFonts w:ascii="Calibri" w:eastAsia="Times New Roman" w:hAnsi="Calibri" w:cs="Calibri"/>
                <w:color w:val="222222"/>
                <w:lang w:eastAsia="en-GB"/>
              </w:rPr>
            </w:pPr>
            <w:r w:rsidRPr="005E7E65">
              <w:rPr>
                <w:rFonts w:ascii="Calibri" w:eastAsia="Times New Roman" w:hAnsi="Calibri" w:cs="Calibri"/>
                <w:color w:val="222222"/>
                <w:lang w:eastAsia="en-GB"/>
              </w:rPr>
              <w:lastRenderedPageBreak/>
              <w:t>Playground Equipment                       </w:t>
            </w:r>
          </w:p>
        </w:tc>
        <w:tc>
          <w:tcPr>
            <w:tcW w:w="2625" w:type="dxa"/>
          </w:tcPr>
          <w:p w:rsidR="005E73B4" w:rsidRDefault="007D5374">
            <w:r>
              <w:t>Covered</w:t>
            </w:r>
          </w:p>
        </w:tc>
        <w:tc>
          <w:tcPr>
            <w:tcW w:w="2552" w:type="dxa"/>
          </w:tcPr>
          <w:p w:rsidR="007D5374" w:rsidRPr="005E7E65" w:rsidRDefault="004E74A8" w:rsidP="007D5374">
            <w:pPr>
              <w:shd w:val="clear" w:color="auto" w:fill="FFFFFF"/>
              <w:rPr>
                <w:rFonts w:ascii="Arial" w:eastAsia="Times New Roman" w:hAnsi="Arial" w:cs="Arial"/>
                <w:color w:val="222222"/>
                <w:sz w:val="24"/>
                <w:szCs w:val="24"/>
                <w:lang w:eastAsia="en-GB"/>
              </w:rPr>
            </w:pPr>
            <w:r>
              <w:rPr>
                <w:rFonts w:ascii="Calibri" w:eastAsia="Times New Roman" w:hAnsi="Calibri" w:cs="Calibri"/>
                <w:color w:val="222222"/>
                <w:lang w:eastAsia="en-GB"/>
              </w:rPr>
              <w:t> £90</w:t>
            </w:r>
            <w:r w:rsidR="007D5374" w:rsidRPr="005E7E65">
              <w:rPr>
                <w:rFonts w:ascii="Calibri" w:eastAsia="Times New Roman" w:hAnsi="Calibri" w:cs="Calibri"/>
                <w:color w:val="222222"/>
                <w:lang w:eastAsia="en-GB"/>
              </w:rPr>
              <w:t>,000</w:t>
            </w:r>
          </w:p>
          <w:p w:rsidR="005E73B4" w:rsidRDefault="005E73B4"/>
        </w:tc>
      </w:tr>
      <w:tr w:rsidR="005E73B4" w:rsidTr="005E73B4">
        <w:tc>
          <w:tcPr>
            <w:tcW w:w="3839" w:type="dxa"/>
          </w:tcPr>
          <w:p w:rsidR="005E73B4" w:rsidRPr="005E7E65" w:rsidRDefault="007D5374" w:rsidP="007D5374">
            <w:pPr>
              <w:shd w:val="clear" w:color="auto" w:fill="FFFFFF"/>
              <w:rPr>
                <w:rFonts w:ascii="Calibri" w:eastAsia="Times New Roman" w:hAnsi="Calibri" w:cs="Calibri"/>
                <w:color w:val="222222"/>
                <w:lang w:eastAsia="en-GB"/>
              </w:rPr>
            </w:pPr>
            <w:r w:rsidRPr="005E7E65">
              <w:rPr>
                <w:rFonts w:ascii="Calibri" w:eastAsia="Times New Roman" w:hAnsi="Calibri" w:cs="Calibri"/>
                <w:color w:val="222222"/>
                <w:lang w:eastAsia="en-GB"/>
              </w:rPr>
              <w:t>CCTV Equipment                              </w:t>
            </w:r>
          </w:p>
        </w:tc>
        <w:tc>
          <w:tcPr>
            <w:tcW w:w="2625" w:type="dxa"/>
          </w:tcPr>
          <w:p w:rsidR="005E73B4" w:rsidRDefault="005E73B4"/>
        </w:tc>
        <w:tc>
          <w:tcPr>
            <w:tcW w:w="2552" w:type="dxa"/>
          </w:tcPr>
          <w:p w:rsidR="007D5374" w:rsidRPr="005E7E65" w:rsidRDefault="007D5374" w:rsidP="007D5374">
            <w:pPr>
              <w:shd w:val="clear" w:color="auto" w:fill="FFFFFF"/>
              <w:rPr>
                <w:rFonts w:ascii="Arial" w:eastAsia="Times New Roman" w:hAnsi="Arial" w:cs="Arial"/>
                <w:color w:val="222222"/>
                <w:sz w:val="24"/>
                <w:szCs w:val="24"/>
                <w:lang w:eastAsia="en-GB"/>
              </w:rPr>
            </w:pPr>
            <w:r w:rsidRPr="005E7E65">
              <w:rPr>
                <w:rFonts w:ascii="Calibri" w:eastAsia="Times New Roman" w:hAnsi="Calibri" w:cs="Calibri"/>
                <w:color w:val="222222"/>
                <w:lang w:eastAsia="en-GB"/>
              </w:rPr>
              <w:t> Not Insured</w:t>
            </w:r>
          </w:p>
          <w:p w:rsidR="005E73B4" w:rsidRDefault="005E73B4"/>
        </w:tc>
      </w:tr>
      <w:tr w:rsidR="005E73B4" w:rsidTr="005E73B4">
        <w:tc>
          <w:tcPr>
            <w:tcW w:w="3839" w:type="dxa"/>
          </w:tcPr>
          <w:p w:rsidR="007D5374" w:rsidRPr="005E7E65" w:rsidRDefault="007D5374" w:rsidP="007D5374">
            <w:pPr>
              <w:shd w:val="clear" w:color="auto" w:fill="FFFFFF"/>
              <w:rPr>
                <w:rFonts w:ascii="Arial" w:eastAsia="Times New Roman" w:hAnsi="Arial" w:cs="Arial"/>
                <w:color w:val="222222"/>
                <w:sz w:val="24"/>
                <w:szCs w:val="24"/>
                <w:lang w:eastAsia="en-GB"/>
              </w:rPr>
            </w:pPr>
            <w:r w:rsidRPr="005E7E65">
              <w:rPr>
                <w:rFonts w:ascii="Calibri" w:eastAsia="Times New Roman" w:hAnsi="Calibri" w:cs="Calibri"/>
                <w:color w:val="222222"/>
                <w:lang w:eastAsia="en-GB"/>
              </w:rPr>
              <w:t>War Memorials                                       </w:t>
            </w:r>
          </w:p>
          <w:p w:rsidR="005E73B4" w:rsidRPr="005E7E65" w:rsidRDefault="005E73B4" w:rsidP="005E7E65">
            <w:pPr>
              <w:shd w:val="clear" w:color="auto" w:fill="FFFFFF"/>
              <w:rPr>
                <w:rFonts w:ascii="Calibri" w:eastAsia="Times New Roman" w:hAnsi="Calibri" w:cs="Calibri"/>
                <w:color w:val="222222"/>
                <w:lang w:eastAsia="en-GB"/>
              </w:rPr>
            </w:pPr>
          </w:p>
        </w:tc>
        <w:tc>
          <w:tcPr>
            <w:tcW w:w="2625" w:type="dxa"/>
          </w:tcPr>
          <w:p w:rsidR="005E73B4" w:rsidRDefault="007D5374">
            <w:r>
              <w:t>Covered</w:t>
            </w:r>
          </w:p>
        </w:tc>
        <w:tc>
          <w:tcPr>
            <w:tcW w:w="2552" w:type="dxa"/>
          </w:tcPr>
          <w:p w:rsidR="005E73B4" w:rsidRDefault="004E74A8">
            <w:r>
              <w:rPr>
                <w:rFonts w:ascii="Calibri" w:eastAsia="Times New Roman" w:hAnsi="Calibri" w:cs="Calibri"/>
                <w:color w:val="222222"/>
                <w:lang w:eastAsia="en-GB"/>
              </w:rPr>
              <w:t>£48</w:t>
            </w:r>
            <w:r w:rsidR="007D5374" w:rsidRPr="005E7E65">
              <w:rPr>
                <w:rFonts w:ascii="Calibri" w:eastAsia="Times New Roman" w:hAnsi="Calibri" w:cs="Calibri"/>
                <w:color w:val="222222"/>
                <w:lang w:eastAsia="en-GB"/>
              </w:rPr>
              <w:t>,000</w:t>
            </w:r>
          </w:p>
        </w:tc>
      </w:tr>
      <w:tr w:rsidR="005E73B4" w:rsidTr="005E73B4">
        <w:tc>
          <w:tcPr>
            <w:tcW w:w="3839" w:type="dxa"/>
          </w:tcPr>
          <w:p w:rsidR="007D5374" w:rsidRPr="005E7E65" w:rsidRDefault="007D5374" w:rsidP="007D5374">
            <w:pPr>
              <w:shd w:val="clear" w:color="auto" w:fill="FFFFFF"/>
              <w:rPr>
                <w:rFonts w:ascii="Arial" w:eastAsia="Times New Roman" w:hAnsi="Arial" w:cs="Arial"/>
                <w:color w:val="222222"/>
                <w:sz w:val="24"/>
                <w:szCs w:val="24"/>
                <w:lang w:eastAsia="en-GB"/>
              </w:rPr>
            </w:pPr>
            <w:r w:rsidRPr="005E7E65">
              <w:rPr>
                <w:rFonts w:ascii="Calibri" w:eastAsia="Times New Roman" w:hAnsi="Calibri" w:cs="Calibri"/>
                <w:color w:val="222222"/>
                <w:lang w:eastAsia="en-GB"/>
              </w:rPr>
              <w:t>Ground Surfaces                                    </w:t>
            </w:r>
          </w:p>
          <w:p w:rsidR="005E73B4" w:rsidRPr="005E7E65" w:rsidRDefault="005E73B4" w:rsidP="005E7E65">
            <w:pPr>
              <w:shd w:val="clear" w:color="auto" w:fill="FFFFFF"/>
              <w:rPr>
                <w:rFonts w:ascii="Calibri" w:eastAsia="Times New Roman" w:hAnsi="Calibri" w:cs="Calibri"/>
                <w:color w:val="222222"/>
                <w:lang w:eastAsia="en-GB"/>
              </w:rPr>
            </w:pPr>
          </w:p>
        </w:tc>
        <w:tc>
          <w:tcPr>
            <w:tcW w:w="2625" w:type="dxa"/>
          </w:tcPr>
          <w:p w:rsidR="005E73B4" w:rsidRDefault="007D5374">
            <w:r>
              <w:t>Covered</w:t>
            </w:r>
          </w:p>
        </w:tc>
        <w:tc>
          <w:tcPr>
            <w:tcW w:w="2552" w:type="dxa"/>
          </w:tcPr>
          <w:p w:rsidR="005E73B4" w:rsidRDefault="00FB581A">
            <w:r>
              <w:rPr>
                <w:rFonts w:ascii="Calibri" w:eastAsia="Times New Roman" w:hAnsi="Calibri" w:cs="Calibri"/>
                <w:color w:val="222222"/>
                <w:lang w:eastAsia="en-GB"/>
              </w:rPr>
              <w:t>£3,128</w:t>
            </w:r>
          </w:p>
        </w:tc>
      </w:tr>
      <w:tr w:rsidR="005E73B4" w:rsidTr="005E73B4">
        <w:tc>
          <w:tcPr>
            <w:tcW w:w="3839" w:type="dxa"/>
          </w:tcPr>
          <w:p w:rsidR="007D5374" w:rsidRPr="005E7E65" w:rsidRDefault="007D5374" w:rsidP="007D5374">
            <w:pPr>
              <w:shd w:val="clear" w:color="auto" w:fill="FFFFFF"/>
              <w:rPr>
                <w:rFonts w:ascii="Arial" w:eastAsia="Times New Roman" w:hAnsi="Arial" w:cs="Arial"/>
                <w:color w:val="222222"/>
                <w:sz w:val="24"/>
                <w:szCs w:val="24"/>
                <w:lang w:eastAsia="en-GB"/>
              </w:rPr>
            </w:pPr>
            <w:r w:rsidRPr="005E7E65">
              <w:rPr>
                <w:rFonts w:ascii="Calibri" w:eastAsia="Times New Roman" w:hAnsi="Calibri" w:cs="Calibri"/>
                <w:color w:val="222222"/>
                <w:lang w:eastAsia="en-GB"/>
              </w:rPr>
              <w:t>Mowers and Machinery                     </w:t>
            </w:r>
          </w:p>
          <w:p w:rsidR="005E73B4" w:rsidRPr="005E7E65" w:rsidRDefault="005E73B4" w:rsidP="005E7E65">
            <w:pPr>
              <w:shd w:val="clear" w:color="auto" w:fill="FFFFFF"/>
              <w:rPr>
                <w:rFonts w:ascii="Calibri" w:eastAsia="Times New Roman" w:hAnsi="Calibri" w:cs="Calibri"/>
                <w:color w:val="222222"/>
                <w:lang w:eastAsia="en-GB"/>
              </w:rPr>
            </w:pPr>
          </w:p>
        </w:tc>
        <w:tc>
          <w:tcPr>
            <w:tcW w:w="2625" w:type="dxa"/>
          </w:tcPr>
          <w:p w:rsidR="005E73B4" w:rsidRDefault="007D5374">
            <w:r>
              <w:t>Covered</w:t>
            </w:r>
          </w:p>
        </w:tc>
        <w:tc>
          <w:tcPr>
            <w:tcW w:w="2552" w:type="dxa"/>
          </w:tcPr>
          <w:p w:rsidR="005E73B4" w:rsidRDefault="004E74A8">
            <w:r>
              <w:rPr>
                <w:rFonts w:ascii="Calibri" w:eastAsia="Times New Roman" w:hAnsi="Calibri" w:cs="Calibri"/>
                <w:color w:val="222222"/>
                <w:lang w:eastAsia="en-GB"/>
              </w:rPr>
              <w:t>£6,000</w:t>
            </w:r>
          </w:p>
        </w:tc>
      </w:tr>
      <w:tr w:rsidR="005E73B4" w:rsidTr="005E73B4">
        <w:tc>
          <w:tcPr>
            <w:tcW w:w="3839" w:type="dxa"/>
          </w:tcPr>
          <w:p w:rsidR="007D5374" w:rsidRPr="005E7E65" w:rsidRDefault="007D5374" w:rsidP="007D5374">
            <w:pPr>
              <w:shd w:val="clear" w:color="auto" w:fill="FFFFFF"/>
              <w:rPr>
                <w:rFonts w:ascii="Arial" w:eastAsia="Times New Roman" w:hAnsi="Arial" w:cs="Arial"/>
                <w:color w:val="222222"/>
                <w:sz w:val="24"/>
                <w:szCs w:val="24"/>
                <w:lang w:eastAsia="en-GB"/>
              </w:rPr>
            </w:pPr>
            <w:r w:rsidRPr="005E7E65">
              <w:rPr>
                <w:rFonts w:ascii="Calibri" w:eastAsia="Times New Roman" w:hAnsi="Calibri" w:cs="Calibri"/>
                <w:color w:val="222222"/>
                <w:lang w:eastAsia="en-GB"/>
              </w:rPr>
              <w:t>Sports Equipment                                </w:t>
            </w:r>
          </w:p>
          <w:p w:rsidR="005E73B4" w:rsidRPr="005E7E65" w:rsidRDefault="005E73B4" w:rsidP="005E7E65">
            <w:pPr>
              <w:shd w:val="clear" w:color="auto" w:fill="FFFFFF"/>
              <w:rPr>
                <w:rFonts w:ascii="Calibri" w:eastAsia="Times New Roman" w:hAnsi="Calibri" w:cs="Calibri"/>
                <w:color w:val="222222"/>
                <w:lang w:eastAsia="en-GB"/>
              </w:rPr>
            </w:pPr>
          </w:p>
        </w:tc>
        <w:tc>
          <w:tcPr>
            <w:tcW w:w="2625" w:type="dxa"/>
          </w:tcPr>
          <w:p w:rsidR="005E73B4" w:rsidRDefault="007D5374">
            <w:r>
              <w:t>Covered</w:t>
            </w:r>
          </w:p>
        </w:tc>
        <w:tc>
          <w:tcPr>
            <w:tcW w:w="2552" w:type="dxa"/>
          </w:tcPr>
          <w:p w:rsidR="005E73B4" w:rsidRDefault="004E74A8">
            <w:r>
              <w:rPr>
                <w:rFonts w:ascii="Calibri" w:eastAsia="Times New Roman" w:hAnsi="Calibri" w:cs="Calibri"/>
                <w:color w:val="222222"/>
                <w:lang w:eastAsia="en-GB"/>
              </w:rPr>
              <w:t>£18,000</w:t>
            </w:r>
          </w:p>
        </w:tc>
      </w:tr>
      <w:tr w:rsidR="005E73B4" w:rsidTr="005E73B4">
        <w:tc>
          <w:tcPr>
            <w:tcW w:w="3839" w:type="dxa"/>
          </w:tcPr>
          <w:p w:rsidR="005E73B4" w:rsidRPr="005E7E65" w:rsidRDefault="007D5374" w:rsidP="007D5374">
            <w:pPr>
              <w:shd w:val="clear" w:color="auto" w:fill="FFFFFF"/>
              <w:rPr>
                <w:rFonts w:ascii="Calibri" w:eastAsia="Times New Roman" w:hAnsi="Calibri" w:cs="Calibri"/>
                <w:color w:val="222222"/>
                <w:lang w:eastAsia="en-GB"/>
              </w:rPr>
            </w:pPr>
            <w:r w:rsidRPr="005E7E65">
              <w:rPr>
                <w:rFonts w:ascii="Calibri" w:eastAsia="Times New Roman" w:hAnsi="Calibri" w:cs="Calibri"/>
                <w:color w:val="222222"/>
                <w:lang w:eastAsia="en-GB"/>
              </w:rPr>
              <w:t xml:space="preserve">Regalia                                                    </w:t>
            </w:r>
          </w:p>
        </w:tc>
        <w:tc>
          <w:tcPr>
            <w:tcW w:w="2625" w:type="dxa"/>
          </w:tcPr>
          <w:p w:rsidR="005E73B4" w:rsidRDefault="005E73B4"/>
        </w:tc>
        <w:tc>
          <w:tcPr>
            <w:tcW w:w="2552" w:type="dxa"/>
          </w:tcPr>
          <w:p w:rsidR="007D5374" w:rsidRPr="005E7E65" w:rsidRDefault="007D5374" w:rsidP="007D5374">
            <w:pPr>
              <w:shd w:val="clear" w:color="auto" w:fill="FFFFFF"/>
              <w:rPr>
                <w:rFonts w:ascii="Arial" w:eastAsia="Times New Roman" w:hAnsi="Arial" w:cs="Arial"/>
                <w:color w:val="222222"/>
                <w:sz w:val="24"/>
                <w:szCs w:val="24"/>
                <w:lang w:eastAsia="en-GB"/>
              </w:rPr>
            </w:pPr>
            <w:r w:rsidRPr="005E7E65">
              <w:rPr>
                <w:rFonts w:ascii="Calibri" w:eastAsia="Times New Roman" w:hAnsi="Calibri" w:cs="Calibri"/>
                <w:color w:val="222222"/>
                <w:lang w:eastAsia="en-GB"/>
              </w:rPr>
              <w:t>Not Insured</w:t>
            </w:r>
          </w:p>
          <w:p w:rsidR="005E73B4" w:rsidRDefault="005E73B4"/>
        </w:tc>
      </w:tr>
      <w:tr w:rsidR="00F1309E" w:rsidTr="005E73B4">
        <w:tc>
          <w:tcPr>
            <w:tcW w:w="3839" w:type="dxa"/>
          </w:tcPr>
          <w:p w:rsidR="00F1309E" w:rsidRDefault="00F1309E">
            <w:r>
              <w:t>Data breach response</w:t>
            </w:r>
          </w:p>
        </w:tc>
        <w:tc>
          <w:tcPr>
            <w:tcW w:w="2625" w:type="dxa"/>
          </w:tcPr>
          <w:p w:rsidR="00F1309E" w:rsidRDefault="00F1309E">
            <w:r>
              <w:t>Not covered</w:t>
            </w:r>
          </w:p>
        </w:tc>
        <w:tc>
          <w:tcPr>
            <w:tcW w:w="2552" w:type="dxa"/>
          </w:tcPr>
          <w:p w:rsidR="00F1309E" w:rsidRDefault="00F1309E"/>
        </w:tc>
      </w:tr>
      <w:tr w:rsidR="004E74A8" w:rsidTr="005E73B4">
        <w:tc>
          <w:tcPr>
            <w:tcW w:w="3839" w:type="dxa"/>
          </w:tcPr>
          <w:p w:rsidR="004E74A8" w:rsidRDefault="004E74A8">
            <w:r>
              <w:t>Terrorism</w:t>
            </w:r>
          </w:p>
        </w:tc>
        <w:tc>
          <w:tcPr>
            <w:tcW w:w="2625" w:type="dxa"/>
          </w:tcPr>
          <w:p w:rsidR="004E74A8" w:rsidRDefault="004E74A8">
            <w:r>
              <w:t>Insured</w:t>
            </w:r>
          </w:p>
        </w:tc>
        <w:tc>
          <w:tcPr>
            <w:tcW w:w="2552" w:type="dxa"/>
          </w:tcPr>
          <w:p w:rsidR="004E74A8" w:rsidRDefault="004E74A8"/>
        </w:tc>
      </w:tr>
      <w:tr w:rsidR="00982FCD" w:rsidTr="001E58A3">
        <w:trPr>
          <w:trHeight w:val="547"/>
        </w:trPr>
        <w:tc>
          <w:tcPr>
            <w:tcW w:w="9016" w:type="dxa"/>
            <w:gridSpan w:val="3"/>
          </w:tcPr>
          <w:p w:rsidR="00982FCD" w:rsidRDefault="00982FCD"/>
          <w:p w:rsidR="00982FCD" w:rsidRDefault="007D5374">
            <w:r>
              <w:t>Excess – f</w:t>
            </w:r>
            <w:r w:rsidR="00982FCD">
              <w:t>r</w:t>
            </w:r>
            <w:r>
              <w:t>o</w:t>
            </w:r>
            <w:r w:rsidR="00982FCD">
              <w:t xml:space="preserve">m the amount of all claims in respect of one occurrence, which shall be adjusted in accordance with the terms exclusions and conditions of this policy the insurer will deduct the amount of the excess stated. Insurance limits are inclusive of </w:t>
            </w:r>
            <w:proofErr w:type="spellStart"/>
            <w:r w:rsidR="00982FCD">
              <w:t>excesses.only</w:t>
            </w:r>
            <w:proofErr w:type="spellEnd"/>
            <w:r w:rsidR="00982FCD">
              <w:t xml:space="preserve"> one excess will apply in respect of any one occurrence.  In the event that more than one excess applies, then only the higher excess will apply.</w:t>
            </w:r>
            <w:r w:rsidR="00FB581A">
              <w:t xml:space="preserve">  Section Excess is £</w:t>
            </w:r>
            <w:proofErr w:type="gramStart"/>
            <w:r w:rsidR="00FB581A">
              <w:t>125  Excess</w:t>
            </w:r>
            <w:proofErr w:type="gramEnd"/>
            <w:r w:rsidR="00FB581A">
              <w:t xml:space="preserve"> in respect of all subsidence claims  £1,000.  Excess in respect of all Terrorism </w:t>
            </w:r>
            <w:proofErr w:type="gramStart"/>
            <w:r w:rsidR="00FB581A">
              <w:t>claims  Nil</w:t>
            </w:r>
            <w:proofErr w:type="gramEnd"/>
            <w:r w:rsidR="00FB581A">
              <w:t xml:space="preserve">.  Territorial </w:t>
            </w:r>
            <w:proofErr w:type="gramStart"/>
            <w:r w:rsidR="00FB581A">
              <w:t>limits  Nil</w:t>
            </w:r>
            <w:proofErr w:type="gramEnd"/>
            <w:r w:rsidR="00FB581A">
              <w:t>.</w:t>
            </w:r>
          </w:p>
        </w:tc>
      </w:tr>
    </w:tbl>
    <w:p w:rsidR="00866BA7" w:rsidRDefault="00866BA7"/>
    <w:p w:rsidR="00866BA7" w:rsidRDefault="00866BA7"/>
    <w:p w:rsidR="00866BA7" w:rsidRDefault="00081EDC">
      <w:r>
        <w:t>*Clerk suggests Council insure for Data breach response</w:t>
      </w:r>
    </w:p>
    <w:sectPr w:rsidR="00866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B2"/>
    <w:rsid w:val="00081EDC"/>
    <w:rsid w:val="00127348"/>
    <w:rsid w:val="001E58A3"/>
    <w:rsid w:val="002273AF"/>
    <w:rsid w:val="00324B40"/>
    <w:rsid w:val="00390C21"/>
    <w:rsid w:val="004851D1"/>
    <w:rsid w:val="004851F5"/>
    <w:rsid w:val="004A2351"/>
    <w:rsid w:val="004B6F51"/>
    <w:rsid w:val="004E74A8"/>
    <w:rsid w:val="004E7F73"/>
    <w:rsid w:val="005244EC"/>
    <w:rsid w:val="005C60EE"/>
    <w:rsid w:val="005E73B4"/>
    <w:rsid w:val="005E7E65"/>
    <w:rsid w:val="006144B2"/>
    <w:rsid w:val="00793135"/>
    <w:rsid w:val="007D5374"/>
    <w:rsid w:val="00816833"/>
    <w:rsid w:val="00862D39"/>
    <w:rsid w:val="00866BA7"/>
    <w:rsid w:val="00982FCD"/>
    <w:rsid w:val="00AC71A4"/>
    <w:rsid w:val="00B27B25"/>
    <w:rsid w:val="00BF774A"/>
    <w:rsid w:val="00C66AA5"/>
    <w:rsid w:val="00C84F9B"/>
    <w:rsid w:val="00DC4A5D"/>
    <w:rsid w:val="00E21FF9"/>
    <w:rsid w:val="00EE67BD"/>
    <w:rsid w:val="00F1309E"/>
    <w:rsid w:val="00FB1CA3"/>
    <w:rsid w:val="00FB581A"/>
    <w:rsid w:val="00FD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CFD0C-CF5A-4D6E-BD25-C979B802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63196">
      <w:bodyDiv w:val="1"/>
      <w:marLeft w:val="0"/>
      <w:marRight w:val="0"/>
      <w:marTop w:val="0"/>
      <w:marBottom w:val="0"/>
      <w:divBdr>
        <w:top w:val="none" w:sz="0" w:space="0" w:color="auto"/>
        <w:left w:val="none" w:sz="0" w:space="0" w:color="auto"/>
        <w:bottom w:val="none" w:sz="0" w:space="0" w:color="auto"/>
        <w:right w:val="none" w:sz="0" w:space="0" w:color="auto"/>
      </w:divBdr>
    </w:div>
    <w:div w:id="15322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cp:lastModifiedBy>
  <cp:revision>6</cp:revision>
  <dcterms:created xsi:type="dcterms:W3CDTF">2022-02-18T15:09:00Z</dcterms:created>
  <dcterms:modified xsi:type="dcterms:W3CDTF">2022-02-18T15:39:00Z</dcterms:modified>
</cp:coreProperties>
</file>